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22" w:rsidRPr="008C1622" w:rsidRDefault="008C1622" w:rsidP="008C1622">
      <w:pPr>
        <w:spacing w:after="0"/>
        <w:jc w:val="center"/>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FAU - Institut für Soziologie</w:t>
      </w:r>
    </w:p>
    <w:p w:rsidR="00ED661F" w:rsidRDefault="00ED661F" w:rsidP="008C1622">
      <w:pPr>
        <w:spacing w:after="0"/>
        <w:jc w:val="center"/>
        <w:rPr>
          <w:rFonts w:ascii="Times New Roman" w:eastAsia="Times New Roman" w:hAnsi="Times New Roman" w:cs="Times New Roman"/>
          <w:color w:val="000000"/>
          <w:sz w:val="24"/>
          <w:szCs w:val="24"/>
          <w:lang w:eastAsia="de-DE"/>
        </w:rPr>
      </w:pPr>
      <w:proofErr w:type="spellStart"/>
      <w:r>
        <w:rPr>
          <w:rFonts w:ascii="Times New Roman" w:eastAsia="Times New Roman" w:hAnsi="Times New Roman" w:cs="Times New Roman"/>
          <w:color w:val="000000"/>
          <w:sz w:val="24"/>
          <w:szCs w:val="24"/>
          <w:lang w:eastAsia="de-DE"/>
        </w:rPr>
        <w:t>SozT</w:t>
      </w:r>
      <w:proofErr w:type="spellEnd"/>
    </w:p>
    <w:p w:rsidR="008C1622" w:rsidRPr="008C1622" w:rsidRDefault="008C1622" w:rsidP="008C1622">
      <w:pPr>
        <w:spacing w:after="0"/>
        <w:jc w:val="center"/>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Wintersemester 2013/14</w:t>
      </w:r>
    </w:p>
    <w:p w:rsidR="00D63DF6" w:rsidRPr="008C1622" w:rsidRDefault="00D63DF6" w:rsidP="00D63DF6">
      <w:pPr>
        <w:pStyle w:val="berschrift1"/>
        <w:jc w:val="center"/>
        <w:rPr>
          <w:rFonts w:ascii="Times New Roman" w:eastAsia="Times New Roman" w:hAnsi="Times New Roman" w:cs="Times New Roman"/>
          <w:bCs w:val="0"/>
          <w:color w:val="000000"/>
          <w:sz w:val="32"/>
          <w:szCs w:val="32"/>
          <w:lang w:eastAsia="de-DE"/>
        </w:rPr>
      </w:pPr>
      <w:r w:rsidRPr="008C1622">
        <w:rPr>
          <w:rFonts w:ascii="Times New Roman" w:eastAsia="Times New Roman" w:hAnsi="Times New Roman" w:cs="Times New Roman"/>
          <w:bCs w:val="0"/>
          <w:color w:val="000000"/>
          <w:sz w:val="32"/>
          <w:szCs w:val="32"/>
          <w:lang w:eastAsia="de-DE"/>
        </w:rPr>
        <w:t>„Soziologische Perspektiven auf Sakralisierung und Profanisierung“</w:t>
      </w:r>
    </w:p>
    <w:p w:rsidR="00D63DF6" w:rsidRPr="008C1622" w:rsidRDefault="00D63DF6" w:rsidP="00D63DF6">
      <w:pPr>
        <w:pStyle w:val="StandardWeb"/>
        <w:jc w:val="center"/>
      </w:pPr>
    </w:p>
    <w:p w:rsidR="008C1622" w:rsidRPr="008C1622" w:rsidRDefault="008C1622" w:rsidP="008C1622">
      <w:pPr>
        <w:spacing w:after="0"/>
        <w:rPr>
          <w:rFonts w:ascii="Times New Roman" w:eastAsia="Times New Roman" w:hAnsi="Times New Roman" w:cs="Times New Roman"/>
          <w:b/>
          <w:color w:val="000000"/>
          <w:sz w:val="24"/>
          <w:szCs w:val="24"/>
          <w:lang w:eastAsia="de-DE"/>
        </w:rPr>
      </w:pPr>
      <w:r w:rsidRPr="008C1622">
        <w:rPr>
          <w:rFonts w:ascii="Times New Roman" w:eastAsia="Times New Roman" w:hAnsi="Times New Roman" w:cs="Times New Roman"/>
          <w:b/>
          <w:color w:val="000000"/>
          <w:sz w:val="24"/>
          <w:szCs w:val="24"/>
          <w:lang w:eastAsia="de-DE"/>
        </w:rPr>
        <w:t>Allgemeine Informationen:</w:t>
      </w:r>
    </w:p>
    <w:p w:rsidR="008C1622" w:rsidRPr="008C1622" w:rsidRDefault="008C1622" w:rsidP="008C1622">
      <w:pPr>
        <w:spacing w:after="0"/>
        <w:rPr>
          <w:rFonts w:ascii="Times New Roman" w:eastAsia="Times New Roman" w:hAnsi="Times New Roman" w:cs="Times New Roman"/>
          <w:color w:val="000000"/>
          <w:sz w:val="24"/>
          <w:szCs w:val="24"/>
          <w:lang w:eastAsia="de-DE"/>
        </w:rPr>
      </w:pPr>
    </w:p>
    <w:p w:rsidR="008C1622" w:rsidRPr="008C1622" w:rsidRDefault="008C1622" w:rsidP="008C1622">
      <w:pPr>
        <w:spacing w:after="0"/>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 xml:space="preserve">Termin: </w:t>
      </w:r>
      <w:r>
        <w:rPr>
          <w:rFonts w:ascii="Times New Roman" w:eastAsia="Times New Roman" w:hAnsi="Times New Roman" w:cs="Times New Roman"/>
          <w:color w:val="000000"/>
          <w:sz w:val="24"/>
          <w:szCs w:val="24"/>
          <w:lang w:eastAsia="de-DE"/>
        </w:rPr>
        <w:t>Dienstag, 12.15-13.45</w:t>
      </w:r>
      <w:r w:rsidRPr="008C1622">
        <w:rPr>
          <w:rFonts w:ascii="Times New Roman" w:eastAsia="Times New Roman" w:hAnsi="Times New Roman" w:cs="Times New Roman"/>
          <w:color w:val="000000"/>
          <w:sz w:val="24"/>
          <w:szCs w:val="24"/>
          <w:lang w:eastAsia="de-DE"/>
        </w:rPr>
        <w:t xml:space="preserve"> Uhr, PSG</w:t>
      </w:r>
      <w:r>
        <w:rPr>
          <w:rFonts w:ascii="Times New Roman" w:eastAsia="Times New Roman" w:hAnsi="Times New Roman" w:cs="Times New Roman"/>
          <w:color w:val="000000"/>
          <w:sz w:val="24"/>
          <w:szCs w:val="24"/>
          <w:lang w:eastAsia="de-DE"/>
        </w:rPr>
        <w:t xml:space="preserve"> 00.4</w:t>
      </w:r>
    </w:p>
    <w:p w:rsidR="008C1622" w:rsidRDefault="008C1622" w:rsidP="008C1622">
      <w:pPr>
        <w:spacing w:after="0"/>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Seminarleitung: Yasemin Yilmaz, M.A</w:t>
      </w:r>
    </w:p>
    <w:p w:rsidR="008C1622" w:rsidRPr="008C1622" w:rsidRDefault="008C1622" w:rsidP="008C1622">
      <w:pPr>
        <w:spacing w:after="0"/>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 xml:space="preserve">E-Mail: </w:t>
      </w:r>
      <w:r w:rsidRPr="008C1622">
        <w:rPr>
          <w:rFonts w:ascii="Times New Roman" w:eastAsia="Times New Roman" w:hAnsi="Times New Roman" w:cs="Times New Roman"/>
          <w:color w:val="000000"/>
          <w:sz w:val="24"/>
          <w:szCs w:val="24"/>
          <w:u w:val="single"/>
          <w:lang w:eastAsia="de-DE"/>
        </w:rPr>
        <w:t>Yasemin.Yilmaz@gmx.net</w:t>
      </w:r>
    </w:p>
    <w:p w:rsidR="008C1622" w:rsidRPr="008C1622" w:rsidRDefault="008C1622" w:rsidP="008C1622">
      <w:pPr>
        <w:spacing w:after="0"/>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Sprechstunde: ###</w:t>
      </w:r>
    </w:p>
    <w:p w:rsidR="00D63DF6" w:rsidRDefault="008C1622" w:rsidP="00D63DF6">
      <w:pPr>
        <w:pStyle w:val="StandardWeb"/>
        <w:rPr>
          <w:b/>
          <w:bCs/>
        </w:rPr>
      </w:pPr>
      <w:r>
        <w:rPr>
          <w:b/>
          <w:bCs/>
        </w:rPr>
        <w:t xml:space="preserve">Inhalt des Seminars: </w:t>
      </w:r>
    </w:p>
    <w:p w:rsidR="008C1622" w:rsidRPr="008C1622" w:rsidRDefault="008C1622" w:rsidP="008C1622">
      <w:pPr>
        <w:shd w:val="clear" w:color="auto" w:fill="FFFFFF"/>
        <w:spacing w:before="100" w:beforeAutospacing="1" w:after="216" w:line="373" w:lineRule="atLeast"/>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Als die Soziologie Mitte des 19. Jahrhunderts als Disziplin gegründet wurde, nahmen religionssoziologische Studien eine bedeutende Stellung in der Erklärung der Gesellschaft ein. Im Fokus des Proseminars stehen die beiden noch immer in der Soziologie verankerten religiösen Metaphern „Sakralisierung“ und „Profanisierung“, welche auf ebendiese religionssoziologischen Wurzeln des Faches verweisen.</w:t>
      </w:r>
    </w:p>
    <w:p w:rsidR="008C1622" w:rsidRPr="008C1622" w:rsidRDefault="008C1622" w:rsidP="008C1622">
      <w:pPr>
        <w:shd w:val="clear" w:color="auto" w:fill="FFFFFF"/>
        <w:spacing w:before="100" w:beforeAutospacing="1" w:after="216" w:line="373" w:lineRule="atLeast"/>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Dass diese Begriffe tatsächlich als Metaphern zur Beschreibung soziologischer Zusammenhänge zu verstehen sind, wird in Émile Durkheims Werk Die elementaren Formen des religiösen Lebens deutlich. So seien die heiligen Dinge eines Kollektivs, was die im Kollektivbewusstsein verankerten Verbote schützen und isolieren. Profane Dinge seien im Umkehrschluss, worauf  sich  diese  Verbote  beziehen  und  die  von  den  heiligen  Dingen  Abstand halten müssen. Solche heiligen Dinge eines Kollektivs können folglich Sachobjekte, Ideen aber auch soziale Objekte, also Menschen, sein.</w:t>
      </w:r>
    </w:p>
    <w:p w:rsidR="008C1622" w:rsidRPr="008C1622" w:rsidRDefault="008C1622" w:rsidP="008C1622">
      <w:pPr>
        <w:shd w:val="clear" w:color="auto" w:fill="FFFFFF"/>
        <w:spacing w:before="100" w:beforeAutospacing="1" w:after="216" w:line="373" w:lineRule="atLeast"/>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color w:val="000000"/>
          <w:sz w:val="24"/>
          <w:szCs w:val="24"/>
          <w:lang w:eastAsia="de-DE"/>
        </w:rPr>
        <w:t>Émile Durkheim etablierte die beiden religiösen Metaphern in der soziologischen Analyse, doch auch weitere Soziologen, wie beispielsweise Erving Goffman, griffen in der Formulierung ihrer Sozialtheorien auf diese zurück.</w:t>
      </w:r>
    </w:p>
    <w:p w:rsidR="008C1622" w:rsidRDefault="008C1622" w:rsidP="008C1622">
      <w:pPr>
        <w:shd w:val="clear" w:color="auto" w:fill="FFFFFF"/>
        <w:spacing w:before="100" w:beforeAutospacing="1" w:after="216" w:line="373" w:lineRule="atLeast"/>
        <w:rPr>
          <w:rFonts w:ascii="Liberation Sans" w:eastAsia="Times New Roman" w:hAnsi="Liberation Sans" w:cs="Liberation Sans"/>
          <w:color w:val="222222"/>
          <w:sz w:val="24"/>
          <w:szCs w:val="24"/>
          <w:lang w:eastAsia="de-DE"/>
        </w:rPr>
      </w:pPr>
      <w:r w:rsidRPr="008C1622">
        <w:rPr>
          <w:rFonts w:ascii="Times New Roman" w:eastAsia="Times New Roman" w:hAnsi="Times New Roman" w:cs="Times New Roman"/>
          <w:color w:val="000000"/>
          <w:sz w:val="24"/>
          <w:szCs w:val="24"/>
          <w:lang w:eastAsia="de-DE"/>
        </w:rPr>
        <w:t>Im Rahmen des Proseminars gilt der Blick folglich nicht nur den Ursprüngen beider Begriffe sondern auch weiteren soziologischen Perspektiven auf Sakralisierung und Profanisierung. Zudem sollen beide Begriffe im Laufe des Kurses auf die Analyse des Nationalstaates, des Körperkultes, der Menschenrechte und der Überhöhung anderer Objekte angewandt werden.</w:t>
      </w:r>
      <w:r w:rsidRPr="008C1622">
        <w:rPr>
          <w:rFonts w:ascii="Liberation Sans" w:eastAsia="Times New Roman" w:hAnsi="Liberation Sans" w:cs="Liberation Sans"/>
          <w:color w:val="222222"/>
          <w:sz w:val="24"/>
          <w:szCs w:val="24"/>
          <w:lang w:eastAsia="de-DE"/>
        </w:rPr>
        <w:t xml:space="preserve">  </w:t>
      </w:r>
    </w:p>
    <w:p w:rsidR="008C1622" w:rsidRPr="008C1622" w:rsidRDefault="008C1622" w:rsidP="008C1622">
      <w:pPr>
        <w:shd w:val="clear" w:color="auto" w:fill="FFFFFF"/>
        <w:spacing w:before="100" w:beforeAutospacing="1" w:after="216" w:line="373" w:lineRule="atLeast"/>
        <w:rPr>
          <w:rFonts w:ascii="Times New Roman" w:eastAsia="Times New Roman" w:hAnsi="Times New Roman" w:cs="Times New Roman"/>
          <w:color w:val="000000"/>
          <w:sz w:val="24"/>
          <w:szCs w:val="24"/>
          <w:lang w:eastAsia="de-DE"/>
        </w:rPr>
      </w:pPr>
      <w:r w:rsidRPr="008C1622">
        <w:rPr>
          <w:rFonts w:ascii="Times New Roman" w:eastAsia="Times New Roman" w:hAnsi="Times New Roman" w:cs="Times New Roman"/>
          <w:b/>
          <w:color w:val="000000"/>
          <w:sz w:val="24"/>
          <w:szCs w:val="24"/>
          <w:lang w:eastAsia="de-DE"/>
        </w:rPr>
        <w:t>Scheinanforderungen</w:t>
      </w:r>
      <w:r>
        <w:rPr>
          <w:rFonts w:ascii="Times New Roman" w:eastAsia="Times New Roman" w:hAnsi="Times New Roman" w:cs="Times New Roman"/>
          <w:color w:val="000000"/>
          <w:sz w:val="24"/>
          <w:szCs w:val="24"/>
          <w:lang w:eastAsia="de-DE"/>
        </w:rPr>
        <w:t xml:space="preserve">: Referat, </w:t>
      </w:r>
      <w:r w:rsidR="00C81E29">
        <w:rPr>
          <w:rFonts w:ascii="Times New Roman" w:eastAsia="Times New Roman" w:hAnsi="Times New Roman" w:cs="Times New Roman"/>
          <w:color w:val="000000"/>
          <w:sz w:val="24"/>
          <w:szCs w:val="24"/>
          <w:lang w:eastAsia="de-DE"/>
        </w:rPr>
        <w:t>4 Essays</w:t>
      </w:r>
      <w:r w:rsidR="00BF308A">
        <w:rPr>
          <w:rFonts w:ascii="Times New Roman" w:eastAsia="Times New Roman" w:hAnsi="Times New Roman" w:cs="Times New Roman"/>
          <w:color w:val="000000"/>
          <w:sz w:val="24"/>
          <w:szCs w:val="24"/>
          <w:lang w:eastAsia="de-DE"/>
        </w:rPr>
        <w:t xml:space="preserve"> (3-4 Seiten</w:t>
      </w:r>
      <w:bookmarkStart w:id="0" w:name="_GoBack"/>
      <w:bookmarkEnd w:id="0"/>
      <w:r w:rsidR="00BF308A">
        <w:rPr>
          <w:rFonts w:ascii="Times New Roman" w:eastAsia="Times New Roman" w:hAnsi="Times New Roman" w:cs="Times New Roman"/>
          <w:color w:val="000000"/>
          <w:sz w:val="24"/>
          <w:szCs w:val="24"/>
          <w:lang w:eastAsia="de-DE"/>
        </w:rPr>
        <w:t>)</w:t>
      </w:r>
      <w:r w:rsidR="00C81E29">
        <w:rPr>
          <w:rFonts w:ascii="Times New Roman" w:eastAsia="Times New Roman" w:hAnsi="Times New Roman" w:cs="Times New Roman"/>
          <w:color w:val="000000"/>
          <w:sz w:val="24"/>
          <w:szCs w:val="24"/>
          <w:lang w:eastAsia="de-DE"/>
        </w:rPr>
        <w:t xml:space="preserve">, </w:t>
      </w:r>
      <w:r w:rsidR="00BF308A">
        <w:rPr>
          <w:rFonts w:ascii="Times New Roman" w:eastAsia="Times New Roman" w:hAnsi="Times New Roman" w:cs="Times New Roman"/>
          <w:color w:val="000000"/>
          <w:sz w:val="24"/>
          <w:szCs w:val="24"/>
          <w:lang w:eastAsia="de-DE"/>
        </w:rPr>
        <w:t xml:space="preserve">4 </w:t>
      </w:r>
      <w:r w:rsidR="00C81E29">
        <w:rPr>
          <w:rFonts w:ascii="Times New Roman" w:eastAsia="Times New Roman" w:hAnsi="Times New Roman" w:cs="Times New Roman"/>
          <w:color w:val="000000"/>
          <w:sz w:val="24"/>
          <w:szCs w:val="24"/>
          <w:lang w:eastAsia="de-DE"/>
        </w:rPr>
        <w:t xml:space="preserve">Textabstracts </w:t>
      </w:r>
      <w:r w:rsidR="00BF308A">
        <w:rPr>
          <w:rFonts w:ascii="Times New Roman" w:eastAsia="Times New Roman" w:hAnsi="Times New Roman" w:cs="Times New Roman"/>
          <w:color w:val="000000"/>
          <w:sz w:val="24"/>
          <w:szCs w:val="24"/>
          <w:lang w:eastAsia="de-DE"/>
        </w:rPr>
        <w:t>(1-2 Seiten)</w:t>
      </w:r>
    </w:p>
    <w:p w:rsidR="008C1622" w:rsidRPr="008C1622" w:rsidRDefault="008C1622" w:rsidP="00D63DF6">
      <w:pPr>
        <w:pStyle w:val="StandardWeb"/>
        <w:rPr>
          <w:b/>
          <w:bCs/>
          <w:u w:val="single"/>
        </w:rPr>
      </w:pPr>
      <w:r w:rsidRPr="008C1622">
        <w:rPr>
          <w:b/>
          <w:bCs/>
          <w:u w:val="single"/>
        </w:rPr>
        <w:lastRenderedPageBreak/>
        <w:t>Seminarablauf</w:t>
      </w:r>
    </w:p>
    <w:p w:rsidR="00D63DF6" w:rsidRDefault="00D63DF6" w:rsidP="00D63DF6">
      <w:pPr>
        <w:pStyle w:val="StandardWeb"/>
      </w:pPr>
      <w:r>
        <w:rPr>
          <w:b/>
          <w:bCs/>
        </w:rPr>
        <w:t>1. (15.10.) Einführung &amp; Organisatorisches</w:t>
      </w:r>
    </w:p>
    <w:p w:rsidR="00D63DF6" w:rsidRDefault="00D63DF6" w:rsidP="00D63DF6">
      <w:pPr>
        <w:pStyle w:val="StandardWeb"/>
      </w:pPr>
      <w:r>
        <w:t xml:space="preserve">Erste Einführung, Referatsvergabe, Organisatorisches </w:t>
      </w:r>
    </w:p>
    <w:p w:rsidR="00C81E29" w:rsidRDefault="00C81E29" w:rsidP="00D63DF6">
      <w:pPr>
        <w:pStyle w:val="StandardWeb"/>
        <w:rPr>
          <w:b/>
          <w:bCs/>
          <w:u w:val="single"/>
        </w:rPr>
      </w:pPr>
      <w:r>
        <w:rPr>
          <w:b/>
          <w:bCs/>
          <w:u w:val="single"/>
        </w:rPr>
        <w:t>-----------------------------------------------------------------------------------------------------------------</w:t>
      </w:r>
    </w:p>
    <w:p w:rsidR="00D63DF6" w:rsidRDefault="00D63DF6" w:rsidP="00D63DF6">
      <w:pPr>
        <w:pStyle w:val="StandardWeb"/>
      </w:pPr>
      <w:r>
        <w:rPr>
          <w:b/>
          <w:bCs/>
          <w:u w:val="single"/>
        </w:rPr>
        <w:t>A. Ursprung und Entwicklung der religiösen Metaphern 'Sakralisierung' und 'Profanisierung'</w:t>
      </w:r>
    </w:p>
    <w:p w:rsidR="00D63DF6" w:rsidRDefault="00D63DF6" w:rsidP="00D63DF6">
      <w:pPr>
        <w:pStyle w:val="StandardWeb"/>
      </w:pPr>
      <w:r>
        <w:rPr>
          <w:b/>
          <w:bCs/>
        </w:rPr>
        <w:t>2. (22.10.) Der religionsphilosophische Ursprung der Soziologie</w:t>
      </w:r>
    </w:p>
    <w:p w:rsidR="00D63DF6" w:rsidRDefault="00D63DF6" w:rsidP="00D63DF6">
      <w:pPr>
        <w:pStyle w:val="StandardWeb"/>
      </w:pPr>
      <w:r>
        <w:tab/>
        <w:t>Joas (1999), Tyrell (1996)</w:t>
      </w:r>
    </w:p>
    <w:p w:rsidR="00D63DF6" w:rsidRDefault="00D63DF6" w:rsidP="00D63DF6">
      <w:pPr>
        <w:pStyle w:val="StandardWeb"/>
      </w:pPr>
      <w:r>
        <w:rPr>
          <w:b/>
          <w:bCs/>
        </w:rPr>
        <w:t>3. (29.10.) Durkheims Religionssoziologie</w:t>
      </w:r>
    </w:p>
    <w:p w:rsidR="00D63DF6" w:rsidRDefault="00D63DF6" w:rsidP="00D63DF6">
      <w:pPr>
        <w:pStyle w:val="StandardWeb"/>
      </w:pPr>
      <w:r>
        <w:tab/>
        <w:t>Durkheim (2007</w:t>
      </w:r>
      <w:r w:rsidR="008C43BF">
        <w:t>): 13-40, 60-76, 440-454</w:t>
      </w:r>
    </w:p>
    <w:p w:rsidR="008C1622" w:rsidRDefault="00C81E29" w:rsidP="00D63DF6">
      <w:pPr>
        <w:pStyle w:val="StandardWeb"/>
        <w:rPr>
          <w:b/>
          <w:bCs/>
          <w:u w:val="single"/>
        </w:rPr>
      </w:pPr>
      <w:r>
        <w:rPr>
          <w:b/>
          <w:bCs/>
          <w:u w:val="single"/>
        </w:rPr>
        <w:t>-----------------------------------------------------------------------------------------------------------------</w:t>
      </w:r>
    </w:p>
    <w:p w:rsidR="00D63DF6" w:rsidRDefault="00D63DF6" w:rsidP="00D63DF6">
      <w:pPr>
        <w:pStyle w:val="StandardWeb"/>
        <w:rPr>
          <w:b/>
          <w:bCs/>
          <w:u w:val="single"/>
        </w:rPr>
      </w:pPr>
      <w:r>
        <w:rPr>
          <w:b/>
          <w:bCs/>
          <w:u w:val="single"/>
        </w:rPr>
        <w:t xml:space="preserve">B. Zwei soziologische Perspektiven auf Sakralisierung und Profanisierung </w:t>
      </w:r>
    </w:p>
    <w:p w:rsidR="00D63DF6" w:rsidRDefault="00D63DF6" w:rsidP="00D63DF6">
      <w:pPr>
        <w:pStyle w:val="StandardWeb"/>
      </w:pPr>
      <w:r>
        <w:rPr>
          <w:b/>
          <w:bCs/>
        </w:rPr>
        <w:t>4. (05.11.) Durkheim: Das Heilige und das Profane als soziale Tatsachen des Kollektivs</w:t>
      </w:r>
    </w:p>
    <w:p w:rsidR="00D63DF6" w:rsidRDefault="00D63DF6" w:rsidP="00D63DF6">
      <w:pPr>
        <w:pStyle w:val="StandardWeb"/>
      </w:pPr>
      <w:r>
        <w:tab/>
        <w:t>Durkheim (2007</w:t>
      </w:r>
      <w:r w:rsidR="008C43BF">
        <w:t>): 307-319;</w:t>
      </w:r>
      <w:r>
        <w:t xml:space="preserve"> Durkheim (1984</w:t>
      </w:r>
      <w:r w:rsidR="008C43BF">
        <w:t>): 103-114;</w:t>
      </w:r>
      <w:r>
        <w:t xml:space="preserve"> [optional: Douglas (1991)]</w:t>
      </w:r>
    </w:p>
    <w:p w:rsidR="00D63DF6" w:rsidRPr="008C1622" w:rsidRDefault="00D63DF6" w:rsidP="00D63DF6">
      <w:pPr>
        <w:pStyle w:val="StandardWeb"/>
        <w:rPr>
          <w:b/>
          <w:i/>
        </w:rPr>
      </w:pPr>
      <w:r w:rsidRPr="008C1622">
        <w:rPr>
          <w:b/>
          <w:i/>
        </w:rPr>
        <w:t>Abgabe 1. Essay!</w:t>
      </w:r>
    </w:p>
    <w:p w:rsidR="00D63DF6" w:rsidRDefault="00D63DF6" w:rsidP="00D63DF6">
      <w:pPr>
        <w:pStyle w:val="StandardWeb"/>
      </w:pPr>
      <w:r>
        <w:rPr>
          <w:b/>
          <w:bCs/>
        </w:rPr>
        <w:t xml:space="preserve">5. (12.11.) Goffman: Die Interaktion sui generis als Ort der Sakralisierung und </w:t>
      </w:r>
      <w:r>
        <w:rPr>
          <w:b/>
          <w:bCs/>
        </w:rPr>
        <w:tab/>
      </w:r>
      <w:r>
        <w:rPr>
          <w:b/>
          <w:bCs/>
        </w:rPr>
        <w:tab/>
      </w:r>
      <w:r>
        <w:rPr>
          <w:b/>
          <w:bCs/>
        </w:rPr>
        <w:tab/>
        <w:t>Profanisierung</w:t>
      </w:r>
    </w:p>
    <w:p w:rsidR="00D63DF6" w:rsidRDefault="008C43BF" w:rsidP="00D63DF6">
      <w:pPr>
        <w:pStyle w:val="StandardWeb"/>
      </w:pPr>
      <w:r>
        <w:tab/>
        <w:t>Goffman (1986): 10-53</w:t>
      </w:r>
    </w:p>
    <w:p w:rsidR="008C1622" w:rsidRDefault="00C81E29" w:rsidP="00D63DF6">
      <w:pPr>
        <w:pStyle w:val="StandardWeb"/>
        <w:rPr>
          <w:b/>
          <w:bCs/>
          <w:u w:val="single"/>
        </w:rPr>
      </w:pPr>
      <w:r>
        <w:rPr>
          <w:b/>
          <w:bCs/>
          <w:u w:val="single"/>
        </w:rPr>
        <w:t>-----------------------------------------------------------------------------------------------------------------</w:t>
      </w:r>
    </w:p>
    <w:p w:rsidR="00D63DF6" w:rsidRDefault="00D63DF6" w:rsidP="00D63DF6">
      <w:pPr>
        <w:pStyle w:val="StandardWeb"/>
      </w:pPr>
      <w:r>
        <w:rPr>
          <w:b/>
          <w:bCs/>
          <w:u w:val="single"/>
        </w:rPr>
        <w:t>C. Die Anwendung der Metaphern auf soziologische Forschungsgegenstände</w:t>
      </w:r>
    </w:p>
    <w:p w:rsidR="00D63DF6" w:rsidRDefault="00D63DF6" w:rsidP="00D63DF6">
      <w:pPr>
        <w:pStyle w:val="StandardWeb"/>
      </w:pPr>
      <w:r>
        <w:rPr>
          <w:b/>
          <w:bCs/>
        </w:rPr>
        <w:t>6. (19.11.) Nation</w:t>
      </w:r>
    </w:p>
    <w:p w:rsidR="00D63DF6" w:rsidRDefault="00D63DF6" w:rsidP="00D63DF6">
      <w:pPr>
        <w:pStyle w:val="StandardWeb"/>
      </w:pPr>
      <w:r>
        <w:tab/>
        <w:t>Richter (1994), Wulf (2004), Nippedey (1981)</w:t>
      </w:r>
    </w:p>
    <w:p w:rsidR="00D63DF6" w:rsidRPr="008C1622" w:rsidRDefault="00D63DF6" w:rsidP="00D63DF6">
      <w:pPr>
        <w:pStyle w:val="StandardWeb"/>
        <w:rPr>
          <w:b/>
          <w:i/>
        </w:rPr>
      </w:pPr>
      <w:r w:rsidRPr="008C1622">
        <w:rPr>
          <w:b/>
          <w:i/>
        </w:rPr>
        <w:t>Abgabe 2. Essay</w:t>
      </w:r>
      <w:r w:rsidR="008C1622">
        <w:rPr>
          <w:b/>
          <w:i/>
        </w:rPr>
        <w:t>!</w:t>
      </w:r>
    </w:p>
    <w:p w:rsidR="00D63DF6" w:rsidRDefault="00D63DF6" w:rsidP="00D63DF6">
      <w:pPr>
        <w:pStyle w:val="StandardWeb"/>
      </w:pPr>
      <w:r>
        <w:rPr>
          <w:b/>
          <w:bCs/>
        </w:rPr>
        <w:t>7. (26.11.) Raum</w:t>
      </w:r>
    </w:p>
    <w:p w:rsidR="00D63DF6" w:rsidRDefault="00D63DF6" w:rsidP="00D63DF6">
      <w:pPr>
        <w:pStyle w:val="StandardWeb"/>
      </w:pPr>
      <w:r>
        <w:tab/>
        <w:t>Meusburger (2006), Kögel (2005), Sturken (2008)</w:t>
      </w:r>
    </w:p>
    <w:p w:rsidR="00D63DF6" w:rsidRDefault="00D63DF6" w:rsidP="00D63DF6">
      <w:pPr>
        <w:pStyle w:val="StandardWeb"/>
      </w:pPr>
      <w:r>
        <w:rPr>
          <w:b/>
          <w:bCs/>
        </w:rPr>
        <w:t>8. (03.12.) Sozialer Raum</w:t>
      </w:r>
    </w:p>
    <w:p w:rsidR="00D63DF6" w:rsidRDefault="00D63DF6" w:rsidP="00D63DF6">
      <w:pPr>
        <w:pStyle w:val="StandardWeb"/>
      </w:pPr>
      <w:r>
        <w:tab/>
        <w:t>Bourdieu (1998</w:t>
      </w:r>
      <w:r w:rsidR="008C43BF">
        <w:t>): 13-28; 35-40; 48-52;</w:t>
      </w:r>
      <w:r>
        <w:t xml:space="preserve"> Bourdieu (1987</w:t>
      </w:r>
      <w:r w:rsidR="008C43BF">
        <w:t>): 104-115</w:t>
      </w:r>
    </w:p>
    <w:p w:rsidR="00D63DF6" w:rsidRDefault="00D63DF6" w:rsidP="00D63DF6">
      <w:pPr>
        <w:pStyle w:val="StandardWeb"/>
        <w:rPr>
          <w:b/>
          <w:bCs/>
        </w:rPr>
      </w:pPr>
    </w:p>
    <w:p w:rsidR="00D63DF6" w:rsidRDefault="00D63DF6" w:rsidP="00D63DF6">
      <w:pPr>
        <w:pStyle w:val="StandardWeb"/>
      </w:pPr>
      <w:r>
        <w:rPr>
          <w:b/>
          <w:bCs/>
        </w:rPr>
        <w:t>9. (10.12.) Zeit</w:t>
      </w:r>
    </w:p>
    <w:p w:rsidR="00D63DF6" w:rsidRDefault="00D63DF6" w:rsidP="00D63DF6">
      <w:pPr>
        <w:pStyle w:val="StandardWeb"/>
      </w:pPr>
      <w:r>
        <w:tab/>
        <w:t>Kaschuba (2004</w:t>
      </w:r>
      <w:r w:rsidR="008C43BF">
        <w:t>): 13-47</w:t>
      </w:r>
      <w:r>
        <w:t>, Maurer (1991), [</w:t>
      </w:r>
      <w:r w:rsidR="00C81E29">
        <w:t xml:space="preserve">optional: </w:t>
      </w:r>
      <w:r>
        <w:t>Arndt (1959)]</w:t>
      </w:r>
    </w:p>
    <w:p w:rsidR="00D63DF6" w:rsidRDefault="00D63DF6" w:rsidP="00D63DF6">
      <w:pPr>
        <w:pStyle w:val="StandardWeb"/>
      </w:pPr>
      <w:r>
        <w:rPr>
          <w:b/>
          <w:bCs/>
        </w:rPr>
        <w:t>10. (17.12.) Objekte</w:t>
      </w:r>
    </w:p>
    <w:p w:rsidR="00D63DF6" w:rsidRDefault="00D63DF6" w:rsidP="00D63DF6">
      <w:pPr>
        <w:pStyle w:val="StandardWeb"/>
      </w:pPr>
      <w:r>
        <w:tab/>
        <w:t>Mead (1987), Marx (1929; F</w:t>
      </w:r>
      <w:r w:rsidR="008C43BF">
        <w:t>etisch der Ware), Bosch (2010): Kap. 2.1, 2.2, 3.4</w:t>
      </w:r>
    </w:p>
    <w:p w:rsidR="00D63DF6" w:rsidRPr="008C1622" w:rsidRDefault="00D63DF6" w:rsidP="00D63DF6">
      <w:pPr>
        <w:pStyle w:val="StandardWeb"/>
        <w:rPr>
          <w:b/>
          <w:i/>
        </w:rPr>
      </w:pPr>
      <w:r w:rsidRPr="008C1622">
        <w:rPr>
          <w:b/>
          <w:i/>
        </w:rPr>
        <w:t>Abgabe 3. Essay!</w:t>
      </w:r>
    </w:p>
    <w:p w:rsidR="00D63DF6" w:rsidRDefault="00D63DF6" w:rsidP="00D63DF6">
      <w:pPr>
        <w:pStyle w:val="StandardWeb"/>
      </w:pPr>
      <w:r>
        <w:rPr>
          <w:b/>
          <w:bCs/>
        </w:rPr>
        <w:t>11. (14.01.) Körper</w:t>
      </w:r>
    </w:p>
    <w:p w:rsidR="00D63DF6" w:rsidRDefault="00D63DF6" w:rsidP="00D63DF6">
      <w:pPr>
        <w:pStyle w:val="StandardWeb"/>
      </w:pPr>
      <w:r>
        <w:tab/>
        <w:t>Klein (2010), Schmitz-Emans (2001)</w:t>
      </w:r>
    </w:p>
    <w:p w:rsidR="00D63DF6" w:rsidRPr="008C43BF" w:rsidRDefault="00D63DF6" w:rsidP="00D63DF6">
      <w:pPr>
        <w:pStyle w:val="StandardWeb"/>
        <w:rPr>
          <w:lang w:val="en-US"/>
        </w:rPr>
      </w:pPr>
      <w:r w:rsidRPr="008C43BF">
        <w:rPr>
          <w:b/>
          <w:bCs/>
          <w:lang w:val="en-US"/>
        </w:rPr>
        <w:t>12. (21.01.) Menschen I: Goffman, Morris</w:t>
      </w:r>
    </w:p>
    <w:p w:rsidR="00D63DF6" w:rsidRPr="008C43BF" w:rsidRDefault="00D63DF6" w:rsidP="00D63DF6">
      <w:pPr>
        <w:pStyle w:val="StandardWeb"/>
        <w:rPr>
          <w:lang w:val="en-US"/>
        </w:rPr>
      </w:pPr>
      <w:r w:rsidRPr="008C43BF">
        <w:rPr>
          <w:lang w:val="en-US"/>
        </w:rPr>
        <w:tab/>
        <w:t>Goffman (1986</w:t>
      </w:r>
      <w:r w:rsidR="008C43BF">
        <w:rPr>
          <w:lang w:val="en-US"/>
        </w:rPr>
        <w:t>): 54-105</w:t>
      </w:r>
      <w:r w:rsidRPr="008C43BF">
        <w:rPr>
          <w:lang w:val="en-US"/>
        </w:rPr>
        <w:t xml:space="preserve">, </w:t>
      </w:r>
      <w:r w:rsidR="00C81E29" w:rsidRPr="008C43BF">
        <w:rPr>
          <w:lang w:val="en-US"/>
        </w:rPr>
        <w:t xml:space="preserve">[optional: </w:t>
      </w:r>
      <w:r w:rsidRPr="008C43BF">
        <w:rPr>
          <w:lang w:val="en-US"/>
        </w:rPr>
        <w:t>Morris (###)</w:t>
      </w:r>
      <w:r w:rsidR="00C81E29" w:rsidRPr="008C43BF">
        <w:rPr>
          <w:lang w:val="en-US"/>
        </w:rPr>
        <w:t>]</w:t>
      </w:r>
    </w:p>
    <w:p w:rsidR="00D63DF6" w:rsidRDefault="00D63DF6" w:rsidP="00D63DF6">
      <w:pPr>
        <w:pStyle w:val="StandardWeb"/>
      </w:pPr>
      <w:r>
        <w:rPr>
          <w:b/>
          <w:bCs/>
        </w:rPr>
        <w:t>13. (28.01.) Menschen II: Durkheim, Menschenrechte</w:t>
      </w:r>
    </w:p>
    <w:p w:rsidR="00C81E29" w:rsidRPr="00C81E29" w:rsidRDefault="00D63DF6" w:rsidP="00D63DF6">
      <w:pPr>
        <w:pStyle w:val="StandardWeb"/>
      </w:pPr>
      <w:r>
        <w:tab/>
        <w:t>Durkheim (1986), Joas (2011)</w:t>
      </w:r>
      <w:r w:rsidR="008C43BF">
        <w:t>: 23-62;</w:t>
      </w:r>
      <w:r>
        <w:t xml:space="preserve"> [optional</w:t>
      </w:r>
      <w:r w:rsidR="00C81E29">
        <w:t>:</w:t>
      </w:r>
      <w:r>
        <w:t xml:space="preserve"> Klausa (1999)]</w:t>
      </w:r>
    </w:p>
    <w:p w:rsidR="00D63DF6" w:rsidRDefault="00D63DF6" w:rsidP="00D63DF6">
      <w:pPr>
        <w:pStyle w:val="StandardWeb"/>
        <w:rPr>
          <w:b/>
          <w:bCs/>
        </w:rPr>
      </w:pPr>
      <w:r>
        <w:rPr>
          <w:b/>
          <w:bCs/>
        </w:rPr>
        <w:t>14. (04.02.) Abschlussdiskussion</w:t>
      </w:r>
    </w:p>
    <w:p w:rsidR="00D63DF6" w:rsidRPr="008C1622" w:rsidRDefault="00D63DF6" w:rsidP="00D63DF6">
      <w:pPr>
        <w:pStyle w:val="StandardWeb"/>
        <w:rPr>
          <w:b/>
          <w:bCs/>
          <w:i/>
        </w:rPr>
      </w:pPr>
      <w:r w:rsidRPr="008C1622">
        <w:rPr>
          <w:b/>
          <w:bCs/>
          <w:i/>
        </w:rPr>
        <w:t>Abgabe 4. Essay bis maximal 14.02.2014!</w:t>
      </w:r>
    </w:p>
    <w:p w:rsidR="00D63DF6" w:rsidRDefault="00C81E29" w:rsidP="00D63DF6">
      <w:pPr>
        <w:pStyle w:val="StandardWeb"/>
      </w:pPr>
      <w:r>
        <w:t>-------</w:t>
      </w:r>
    </w:p>
    <w:p w:rsidR="00D63DF6" w:rsidRPr="00C81E29" w:rsidRDefault="00D63DF6" w:rsidP="00D63DF6">
      <w:pPr>
        <w:pStyle w:val="StandardWeb"/>
        <w:rPr>
          <w:b/>
          <w:u w:val="single"/>
        </w:rPr>
      </w:pPr>
      <w:r w:rsidRPr="00C81E29">
        <w:rPr>
          <w:b/>
          <w:u w:val="single"/>
        </w:rPr>
        <w:t>Literaturverzeichnis:</w:t>
      </w:r>
    </w:p>
    <w:p w:rsidR="00D63DF6" w:rsidRDefault="00D63DF6" w:rsidP="00D63DF6">
      <w:pPr>
        <w:pStyle w:val="StandardWeb"/>
      </w:pPr>
      <w:r>
        <w:rPr>
          <w:b/>
          <w:bCs/>
        </w:rPr>
        <w:t>Arndt</w:t>
      </w:r>
      <w:r>
        <w:t xml:space="preserve">, Paul. „Totenfeiern und Bräuche der Ngadha.“ </w:t>
      </w:r>
      <w:r>
        <w:rPr>
          <w:i/>
          <w:iCs/>
        </w:rPr>
        <w:t xml:space="preserve">Anthropos </w:t>
      </w:r>
      <w:r>
        <w:t>54.1/2 (1959): 68-98.</w:t>
      </w:r>
    </w:p>
    <w:p w:rsidR="00D63DF6" w:rsidRDefault="00D63DF6" w:rsidP="00D63DF6">
      <w:pPr>
        <w:pStyle w:val="StandardWeb"/>
      </w:pPr>
      <w:r>
        <w:rPr>
          <w:b/>
          <w:bCs/>
        </w:rPr>
        <w:t>Bosch</w:t>
      </w:r>
      <w:r>
        <w:t xml:space="preserve">, Aida. </w:t>
      </w:r>
      <w:r>
        <w:rPr>
          <w:i/>
          <w:iCs/>
        </w:rPr>
        <w:t>Konsum und Exklusion.</w:t>
      </w:r>
      <w:r>
        <w:t xml:space="preserve"> Bielefeld: Transcript, 2010.</w:t>
      </w:r>
    </w:p>
    <w:p w:rsidR="00D63DF6" w:rsidRDefault="00D63DF6" w:rsidP="00D63DF6">
      <w:pPr>
        <w:pStyle w:val="StandardWeb"/>
      </w:pPr>
      <w:r>
        <w:rPr>
          <w:b/>
          <w:bCs/>
        </w:rPr>
        <w:t>Bourdieu</w:t>
      </w:r>
      <w:r>
        <w:t xml:space="preserve">, Pierre. </w:t>
      </w:r>
      <w:r>
        <w:rPr>
          <w:i/>
          <w:iCs/>
        </w:rPr>
        <w:t>Die feinen Unterschiede.</w:t>
      </w:r>
      <w:r>
        <w:t xml:space="preserve"> Frankfurt am Main: Suhrkamp, 1987. </w:t>
      </w:r>
    </w:p>
    <w:p w:rsidR="00D63DF6" w:rsidRDefault="00D63DF6" w:rsidP="00D63DF6">
      <w:pPr>
        <w:pStyle w:val="StandardWeb"/>
      </w:pPr>
      <w:r>
        <w:rPr>
          <w:b/>
          <w:bCs/>
        </w:rPr>
        <w:t>Bourdieu</w:t>
      </w:r>
      <w:r>
        <w:t xml:space="preserve">, Pierre. </w:t>
      </w:r>
      <w:r>
        <w:rPr>
          <w:i/>
          <w:iCs/>
        </w:rPr>
        <w:t>Praktische Vernunft. Zur Theorie des Handelns</w:t>
      </w:r>
      <w:r>
        <w:t xml:space="preserve">. Frankfurt am Main: </w:t>
      </w:r>
      <w:r w:rsidR="008C1622">
        <w:tab/>
      </w:r>
      <w:r>
        <w:t>Suhrkamp, 1998.</w:t>
      </w:r>
    </w:p>
    <w:p w:rsidR="00D63DF6" w:rsidRDefault="00D63DF6" w:rsidP="00D63DF6">
      <w:pPr>
        <w:pStyle w:val="StandardWeb"/>
      </w:pPr>
      <w:r>
        <w:rPr>
          <w:b/>
          <w:bCs/>
        </w:rPr>
        <w:t>Durkheim</w:t>
      </w:r>
      <w:r>
        <w:t xml:space="preserve">, Emile. </w:t>
      </w:r>
      <w:r>
        <w:rPr>
          <w:i/>
          <w:iCs/>
        </w:rPr>
        <w:t>Die elementaren Formen des religiösen Lebens</w:t>
      </w:r>
      <w:r>
        <w:t xml:space="preserve">. Frankfurt am Main: </w:t>
      </w:r>
      <w:r w:rsidR="008C1622">
        <w:tab/>
      </w:r>
      <w:r>
        <w:t xml:space="preserve">Suhrkamp, 2007. </w:t>
      </w:r>
    </w:p>
    <w:p w:rsidR="00D63DF6" w:rsidRDefault="00D63DF6" w:rsidP="00D63DF6">
      <w:pPr>
        <w:pStyle w:val="StandardWeb"/>
      </w:pPr>
      <w:r>
        <w:rPr>
          <w:b/>
          <w:bCs/>
        </w:rPr>
        <w:t>Durkheim</w:t>
      </w:r>
      <w:r>
        <w:t xml:space="preserve">, Emile. „Der Individualismus und die Intellektuellen.“ </w:t>
      </w:r>
      <w:r>
        <w:rPr>
          <w:i/>
          <w:iCs/>
        </w:rPr>
        <w:t xml:space="preserve">Gesellschaftlicher Zwang </w:t>
      </w:r>
      <w:r w:rsidR="008C1622">
        <w:rPr>
          <w:i/>
          <w:iCs/>
        </w:rPr>
        <w:tab/>
      </w:r>
      <w:r>
        <w:rPr>
          <w:i/>
          <w:iCs/>
        </w:rPr>
        <w:t>und moralische Autonomie.</w:t>
      </w:r>
      <w:r>
        <w:t xml:space="preserve"> Bertram, Hans (Hrg.). Frankfurt am Main: Suhrkamp, </w:t>
      </w:r>
      <w:r w:rsidR="008C1622">
        <w:tab/>
      </w:r>
      <w:r>
        <w:t>1986. 54-70.</w:t>
      </w:r>
    </w:p>
    <w:p w:rsidR="00D63DF6" w:rsidRDefault="00D63DF6" w:rsidP="00D63DF6">
      <w:pPr>
        <w:pStyle w:val="StandardWeb"/>
      </w:pPr>
      <w:r>
        <w:rPr>
          <w:b/>
          <w:bCs/>
        </w:rPr>
        <w:t>Durkheim</w:t>
      </w:r>
      <w:r>
        <w:t xml:space="preserve">, Emile. </w:t>
      </w:r>
      <w:r>
        <w:rPr>
          <w:i/>
          <w:iCs/>
        </w:rPr>
        <w:t>Die Regeln der soziologischen Methode.</w:t>
      </w:r>
      <w:r>
        <w:t xml:space="preserve"> Frankfurt am Main: Suhrkamp, </w:t>
      </w:r>
      <w:r w:rsidR="008C1622">
        <w:tab/>
      </w:r>
      <w:r>
        <w:t>1984.</w:t>
      </w:r>
    </w:p>
    <w:p w:rsidR="00D63DF6" w:rsidRDefault="00D63DF6" w:rsidP="00D63DF6">
      <w:pPr>
        <w:pStyle w:val="StandardWeb"/>
      </w:pPr>
      <w:r>
        <w:rPr>
          <w:b/>
          <w:bCs/>
        </w:rPr>
        <w:lastRenderedPageBreak/>
        <w:t>Douglas</w:t>
      </w:r>
      <w:r>
        <w:t xml:space="preserve">, Mary. </w:t>
      </w:r>
      <w:r>
        <w:rPr>
          <w:i/>
          <w:iCs/>
        </w:rPr>
        <w:t>Wie Institutionen denken</w:t>
      </w:r>
      <w:r>
        <w:t>. Frankfurt am Main: Suhrkamp, 1991.</w:t>
      </w:r>
    </w:p>
    <w:p w:rsidR="00D63DF6" w:rsidRDefault="00D63DF6" w:rsidP="00D63DF6">
      <w:pPr>
        <w:pStyle w:val="StandardWeb"/>
      </w:pPr>
      <w:r>
        <w:rPr>
          <w:b/>
          <w:bCs/>
        </w:rPr>
        <w:t>Goffman</w:t>
      </w:r>
      <w:r>
        <w:t xml:space="preserve">, Erving. </w:t>
      </w:r>
      <w:r>
        <w:rPr>
          <w:i/>
          <w:iCs/>
        </w:rPr>
        <w:t>Interaktionsrituale.</w:t>
      </w:r>
      <w:r>
        <w:t xml:space="preserve"> Frankfurt am Main: Suhrkamp, 1986.</w:t>
      </w:r>
    </w:p>
    <w:p w:rsidR="00D63DF6" w:rsidRDefault="00D63DF6" w:rsidP="00D63DF6">
      <w:pPr>
        <w:pStyle w:val="StandardWeb"/>
      </w:pPr>
      <w:r>
        <w:rPr>
          <w:b/>
          <w:bCs/>
        </w:rPr>
        <w:t>Joas</w:t>
      </w:r>
      <w:r>
        <w:t xml:space="preserve">, Hans. </w:t>
      </w:r>
      <w:r>
        <w:rPr>
          <w:i/>
          <w:iCs/>
        </w:rPr>
        <w:t>Die Sakralität der Person. Eine neue Genealogie der Menschenrechte</w:t>
      </w:r>
      <w:r>
        <w:t xml:space="preserve">. Berlin: </w:t>
      </w:r>
      <w:r w:rsidR="008C1622">
        <w:tab/>
      </w:r>
      <w:r>
        <w:t>Suhrkamp Verlag, 2011.</w:t>
      </w:r>
    </w:p>
    <w:p w:rsidR="00D63DF6" w:rsidRDefault="00D63DF6" w:rsidP="00D63DF6">
      <w:pPr>
        <w:pStyle w:val="StandardWeb"/>
      </w:pPr>
      <w:r>
        <w:rPr>
          <w:b/>
          <w:bCs/>
        </w:rPr>
        <w:t>Joas</w:t>
      </w:r>
      <w:r>
        <w:t xml:space="preserve">, Hans. „Die Soziologie und das Heilige. Schlüsseltexte der Religionssoziologie.“ </w:t>
      </w:r>
      <w:r>
        <w:rPr>
          <w:i/>
          <w:iCs/>
        </w:rPr>
        <w:t xml:space="preserve">Merkur </w:t>
      </w:r>
      <w:r w:rsidR="008C1622">
        <w:rPr>
          <w:i/>
          <w:iCs/>
        </w:rPr>
        <w:tab/>
      </w:r>
      <w:r>
        <w:t>53.9/10 (1999): 990-998.</w:t>
      </w:r>
    </w:p>
    <w:p w:rsidR="00D63DF6" w:rsidRDefault="00D63DF6" w:rsidP="00D63DF6">
      <w:pPr>
        <w:pStyle w:val="StandardWeb"/>
      </w:pPr>
      <w:r>
        <w:rPr>
          <w:b/>
          <w:bCs/>
        </w:rPr>
        <w:t>Kaschuba</w:t>
      </w:r>
      <w:r>
        <w:t xml:space="preserve">, Wolfgang. </w:t>
      </w:r>
      <w:r>
        <w:rPr>
          <w:i/>
          <w:iCs/>
        </w:rPr>
        <w:t xml:space="preserve">Die Überwindung der Distanz. Zeit und Raum in der europäischen </w:t>
      </w:r>
      <w:r w:rsidR="008C1622">
        <w:rPr>
          <w:i/>
          <w:iCs/>
        </w:rPr>
        <w:tab/>
      </w:r>
      <w:r>
        <w:rPr>
          <w:i/>
          <w:iCs/>
        </w:rPr>
        <w:t>Moderne.</w:t>
      </w:r>
      <w:r>
        <w:t xml:space="preserve"> Frankfurt am Main: Fischer Taschenbuchverlag, 2004. </w:t>
      </w:r>
    </w:p>
    <w:p w:rsidR="00D63DF6" w:rsidRDefault="00D63DF6" w:rsidP="00D63DF6">
      <w:pPr>
        <w:pStyle w:val="StandardWeb"/>
      </w:pPr>
      <w:r>
        <w:rPr>
          <w:b/>
          <w:bCs/>
        </w:rPr>
        <w:t>Klausa</w:t>
      </w:r>
      <w:r>
        <w:t xml:space="preserve">, Ekkehard. „Die deutsche Gedenkreligion des Holocaust.“ </w:t>
      </w:r>
      <w:r>
        <w:rPr>
          <w:i/>
          <w:iCs/>
        </w:rPr>
        <w:t xml:space="preserve">Merkur </w:t>
      </w:r>
      <w:r>
        <w:t xml:space="preserve">53.9/10 (1999): </w:t>
      </w:r>
      <w:r w:rsidR="008C1622">
        <w:tab/>
      </w:r>
      <w:r>
        <w:t xml:space="preserve">911-921. </w:t>
      </w:r>
    </w:p>
    <w:p w:rsidR="00D63DF6" w:rsidRDefault="00D63DF6" w:rsidP="00D63DF6">
      <w:pPr>
        <w:pStyle w:val="StandardWeb"/>
      </w:pPr>
      <w:r>
        <w:rPr>
          <w:b/>
          <w:bCs/>
        </w:rPr>
        <w:t>Klein</w:t>
      </w:r>
      <w:r>
        <w:t xml:space="preserve">, Gabriele. „Soziologie des Körpers.“ </w:t>
      </w:r>
      <w:r>
        <w:rPr>
          <w:i/>
          <w:iCs/>
        </w:rPr>
        <w:t xml:space="preserve">Handbuch Spezielle Soziologien. </w:t>
      </w:r>
      <w:r>
        <w:t xml:space="preserve">Kneer, Georg / </w:t>
      </w:r>
      <w:r w:rsidR="008C1622">
        <w:tab/>
      </w:r>
      <w:r>
        <w:t>Markus Schroer</w:t>
      </w:r>
      <w:r>
        <w:rPr>
          <w:i/>
          <w:iCs/>
        </w:rPr>
        <w:t xml:space="preserve">. </w:t>
      </w:r>
      <w:r>
        <w:t>Wiesbaden: VS Verlag, 2010. 457-473.</w:t>
      </w:r>
    </w:p>
    <w:p w:rsidR="00D63DF6" w:rsidRDefault="00D63DF6" w:rsidP="00D63DF6">
      <w:pPr>
        <w:pStyle w:val="StandardWeb"/>
      </w:pPr>
      <w:r>
        <w:rPr>
          <w:b/>
          <w:bCs/>
        </w:rPr>
        <w:t>Kögel</w:t>
      </w:r>
      <w:r>
        <w:t xml:space="preserve">, Eduard. </w:t>
      </w:r>
      <w:r>
        <w:rPr>
          <w:rFonts w:ascii="Arial" w:hAnsi="Arial" w:cs="Arial"/>
          <w:color w:val="222222"/>
          <w:sz w:val="18"/>
          <w:szCs w:val="18"/>
        </w:rPr>
        <w:t xml:space="preserve">"Stadtöffentlichkeit und leerer Raum." </w:t>
      </w:r>
      <w:r>
        <w:rPr>
          <w:rFonts w:ascii="Arial" w:hAnsi="Arial" w:cs="Arial"/>
          <w:i/>
          <w:iCs/>
          <w:color w:val="222222"/>
          <w:sz w:val="18"/>
          <w:szCs w:val="18"/>
        </w:rPr>
        <w:t xml:space="preserve">Bauwelt </w:t>
      </w:r>
      <w:r>
        <w:rPr>
          <w:rFonts w:ascii="Arial" w:hAnsi="Arial" w:cs="Arial"/>
          <w:color w:val="222222"/>
          <w:sz w:val="18"/>
          <w:szCs w:val="18"/>
        </w:rPr>
        <w:t>12 (2005):</w:t>
      </w:r>
      <w:r>
        <w:t xml:space="preserve"> 28-33.</w:t>
      </w:r>
    </w:p>
    <w:p w:rsidR="00D63DF6" w:rsidRDefault="00D63DF6" w:rsidP="00D63DF6">
      <w:pPr>
        <w:pStyle w:val="StandardWeb"/>
      </w:pPr>
      <w:r>
        <w:rPr>
          <w:b/>
          <w:bCs/>
        </w:rPr>
        <w:t>Marx</w:t>
      </w:r>
      <w:r>
        <w:t xml:space="preserve">, Karl. </w:t>
      </w:r>
      <w:r>
        <w:rPr>
          <w:i/>
          <w:iCs/>
        </w:rPr>
        <w:t>Das Kapital</w:t>
      </w:r>
      <w:r>
        <w:t>. Leipzig: Kröner, 1929.</w:t>
      </w:r>
    </w:p>
    <w:p w:rsidR="00D63DF6" w:rsidRDefault="00D63DF6" w:rsidP="00D63DF6">
      <w:pPr>
        <w:pStyle w:val="StandardWeb"/>
      </w:pPr>
      <w:r>
        <w:rPr>
          <w:b/>
          <w:bCs/>
        </w:rPr>
        <w:t>Maurer</w:t>
      </w:r>
      <w:r>
        <w:t xml:space="preserve">, Michael. „Feste und Feiern als historischer Forschungsgegenstand.“ </w:t>
      </w:r>
      <w:r>
        <w:rPr>
          <w:i/>
          <w:iCs/>
        </w:rPr>
        <w:t xml:space="preserve">Historische </w:t>
      </w:r>
      <w:r w:rsidR="008C1622">
        <w:rPr>
          <w:i/>
          <w:iCs/>
        </w:rPr>
        <w:tab/>
      </w:r>
      <w:r>
        <w:rPr>
          <w:i/>
          <w:iCs/>
        </w:rPr>
        <w:t xml:space="preserve">Zeitschrift </w:t>
      </w:r>
      <w:r>
        <w:t>253.1 (1991): 101-130.</w:t>
      </w:r>
    </w:p>
    <w:p w:rsidR="00D63DF6" w:rsidRDefault="00D63DF6" w:rsidP="00D63DF6">
      <w:pPr>
        <w:pStyle w:val="StandardWeb"/>
      </w:pPr>
      <w:r>
        <w:rPr>
          <w:b/>
          <w:bCs/>
        </w:rPr>
        <w:t>Mead</w:t>
      </w:r>
      <w:r>
        <w:t xml:space="preserve">, George Herbert. „Der Mechanismus des sozialen Bewusstseins.“ </w:t>
      </w:r>
      <w:r>
        <w:rPr>
          <w:i/>
          <w:iCs/>
        </w:rPr>
        <w:t xml:space="preserve">Gesammelte </w:t>
      </w:r>
      <w:r w:rsidR="008C1622">
        <w:rPr>
          <w:i/>
          <w:iCs/>
        </w:rPr>
        <w:tab/>
      </w:r>
      <w:r>
        <w:rPr>
          <w:i/>
          <w:iCs/>
        </w:rPr>
        <w:t>Aufsätze. Band I.</w:t>
      </w:r>
      <w:r>
        <w:t xml:space="preserve"> Frankfurt am Main: Suhrkamp, 1987. 232-240.</w:t>
      </w:r>
    </w:p>
    <w:p w:rsidR="00D63DF6" w:rsidRDefault="00D63DF6" w:rsidP="00D63DF6">
      <w:pPr>
        <w:pStyle w:val="StandardWeb"/>
      </w:pPr>
      <w:r>
        <w:rPr>
          <w:b/>
          <w:bCs/>
        </w:rPr>
        <w:t>Meusburger</w:t>
      </w:r>
      <w:r>
        <w:t xml:space="preserve">, Peter. „Wissen und Raum – ein subtiles Beziehungsgeflecht.“ </w:t>
      </w:r>
      <w:r>
        <w:rPr>
          <w:i/>
          <w:iCs/>
        </w:rPr>
        <w:t xml:space="preserve">Bildung und </w:t>
      </w:r>
      <w:r w:rsidR="008C1622">
        <w:rPr>
          <w:i/>
          <w:iCs/>
        </w:rPr>
        <w:tab/>
      </w:r>
      <w:r>
        <w:rPr>
          <w:i/>
          <w:iCs/>
        </w:rPr>
        <w:t xml:space="preserve">Wissensgesellschaft. </w:t>
      </w:r>
      <w:r>
        <w:t xml:space="preserve">Kempter, Klaus / Peter Meusburger. Berlin und Heidelberg: </w:t>
      </w:r>
      <w:r w:rsidR="008C1622">
        <w:tab/>
      </w:r>
      <w:r>
        <w:t xml:space="preserve">Springer- Verlag, 2006. 269-308. </w:t>
      </w:r>
    </w:p>
    <w:p w:rsidR="00D63DF6" w:rsidRDefault="00D63DF6" w:rsidP="00D63DF6">
      <w:pPr>
        <w:pStyle w:val="StandardWeb"/>
      </w:pPr>
      <w:r>
        <w:rPr>
          <w:b/>
          <w:bCs/>
        </w:rPr>
        <w:t>Nippedey</w:t>
      </w:r>
      <w:r>
        <w:t xml:space="preserve">, Thomas. „Der Kölner Dom als Nationaldenkmal.“ </w:t>
      </w:r>
      <w:r>
        <w:rPr>
          <w:i/>
          <w:iCs/>
        </w:rPr>
        <w:t xml:space="preserve">Historische Zeitschrift </w:t>
      </w:r>
      <w:r>
        <w:t xml:space="preserve">233.3 </w:t>
      </w:r>
      <w:r w:rsidR="008C1622">
        <w:tab/>
      </w:r>
      <w:r>
        <w:t>(1981): 595-613.</w:t>
      </w:r>
    </w:p>
    <w:p w:rsidR="00D63DF6" w:rsidRDefault="00D63DF6" w:rsidP="00D63DF6">
      <w:pPr>
        <w:pStyle w:val="StandardWeb"/>
      </w:pPr>
      <w:r>
        <w:rPr>
          <w:b/>
          <w:bCs/>
        </w:rPr>
        <w:t>Richter</w:t>
      </w:r>
      <w:r>
        <w:t xml:space="preserve">, Dirk. „Der Mythos der „guten“ Nation: Zum theoriegeschichtlichen Hintergrund </w:t>
      </w:r>
      <w:r w:rsidR="008C1622">
        <w:tab/>
      </w:r>
      <w:r>
        <w:t xml:space="preserve">eines folgenschweren Mißverständnisses.“ </w:t>
      </w:r>
      <w:r>
        <w:rPr>
          <w:i/>
          <w:iCs/>
        </w:rPr>
        <w:t>Soziale Welt</w:t>
      </w:r>
      <w:r>
        <w:t xml:space="preserve"> 45.3 (1994): 304-321.</w:t>
      </w:r>
    </w:p>
    <w:p w:rsidR="00D63DF6" w:rsidRPr="00D63DF6" w:rsidRDefault="00D63DF6" w:rsidP="00D63DF6">
      <w:pPr>
        <w:pStyle w:val="StandardWeb"/>
        <w:rPr>
          <w:lang w:val="en-US"/>
        </w:rPr>
      </w:pPr>
      <w:r>
        <w:rPr>
          <w:b/>
          <w:bCs/>
        </w:rPr>
        <w:t>Schmitz-Emans</w:t>
      </w:r>
      <w:r>
        <w:t xml:space="preserve">, Monika. „Der Körper und seine Bindestriche: Zu Analysen der Ambiguität </w:t>
      </w:r>
      <w:r w:rsidR="008C1622">
        <w:tab/>
      </w:r>
      <w:r>
        <w:t xml:space="preserve">des Körperlichen und zur Dialektik seiner Modellierungen im wissenschaftlichen </w:t>
      </w:r>
      <w:r w:rsidR="008C1622">
        <w:tab/>
      </w:r>
      <w:r>
        <w:t xml:space="preserve">Diskurs der Gegenwart.“ </w:t>
      </w:r>
      <w:r w:rsidRPr="00D63DF6">
        <w:rPr>
          <w:i/>
          <w:iCs/>
          <w:lang w:val="en-US"/>
        </w:rPr>
        <w:t xml:space="preserve">KulturPoetik </w:t>
      </w:r>
      <w:r w:rsidRPr="00D63DF6">
        <w:rPr>
          <w:lang w:val="en-US"/>
        </w:rPr>
        <w:t>1.2 (2001): 275-289.</w:t>
      </w:r>
    </w:p>
    <w:p w:rsidR="00D63DF6" w:rsidRDefault="00D63DF6" w:rsidP="00D63DF6">
      <w:pPr>
        <w:pStyle w:val="StandardWeb"/>
      </w:pPr>
      <w:r w:rsidRPr="00D63DF6">
        <w:rPr>
          <w:b/>
          <w:bCs/>
          <w:lang w:val="en-US"/>
        </w:rPr>
        <w:t>Sturken</w:t>
      </w:r>
      <w:r w:rsidRPr="00D63DF6">
        <w:rPr>
          <w:lang w:val="en-US"/>
        </w:rPr>
        <w:t xml:space="preserve">, Marita. „The aesthetics of absence: Rebuilding Ground Zero.“ </w:t>
      </w:r>
      <w:r>
        <w:rPr>
          <w:i/>
          <w:iCs/>
        </w:rPr>
        <w:t xml:space="preserve">American </w:t>
      </w:r>
      <w:r w:rsidR="008C1622">
        <w:rPr>
          <w:i/>
          <w:iCs/>
        </w:rPr>
        <w:tab/>
      </w:r>
      <w:r>
        <w:rPr>
          <w:i/>
          <w:iCs/>
        </w:rPr>
        <w:t xml:space="preserve">Ethnologist </w:t>
      </w:r>
      <w:r>
        <w:t>31.3, (2008): 311-325.</w:t>
      </w:r>
    </w:p>
    <w:p w:rsidR="00D63DF6" w:rsidRDefault="00D63DF6" w:rsidP="00D63DF6">
      <w:pPr>
        <w:pStyle w:val="StandardWeb"/>
      </w:pPr>
      <w:r>
        <w:rPr>
          <w:b/>
          <w:bCs/>
        </w:rPr>
        <w:t>Tyrell</w:t>
      </w:r>
      <w:r>
        <w:t xml:space="preserve">, Hartmann. „Religionssoziologie.“ </w:t>
      </w:r>
      <w:r>
        <w:rPr>
          <w:i/>
          <w:iCs/>
        </w:rPr>
        <w:t xml:space="preserve">Geschichte und Gesellschaft </w:t>
      </w:r>
      <w:r>
        <w:t>22.3 (1996): 428-457.</w:t>
      </w:r>
    </w:p>
    <w:p w:rsidR="00C02CBF" w:rsidRDefault="00D63DF6" w:rsidP="008C1622">
      <w:pPr>
        <w:pStyle w:val="StandardWeb"/>
      </w:pPr>
      <w:r w:rsidRPr="008C43BF">
        <w:rPr>
          <w:b/>
        </w:rPr>
        <w:t>Wulf</w:t>
      </w:r>
      <w:r w:rsidRPr="008C43BF">
        <w:t xml:space="preserve">, Christoph. „Ritual, Macht und Performanz. </w:t>
      </w:r>
      <w:r w:rsidRPr="008C1622">
        <w:t xml:space="preserve">Die Inauguration des amerikanischen </w:t>
      </w:r>
      <w:r w:rsidR="008C1622" w:rsidRPr="008C1622">
        <w:tab/>
      </w:r>
      <w:r w:rsidRPr="008C1622">
        <w:t xml:space="preserve">Präsidenten.“ </w:t>
      </w:r>
      <w:r w:rsidRPr="008C43BF">
        <w:t xml:space="preserve">Wulf, Christoph und Jörg Zirfas. Die Kultur des Rituals. Inszenierungen, </w:t>
      </w:r>
      <w:r w:rsidR="008C1622" w:rsidRPr="008C43BF">
        <w:tab/>
      </w:r>
      <w:r w:rsidRPr="008C43BF">
        <w:t xml:space="preserve">Praktiken, Symbole. </w:t>
      </w:r>
      <w:r w:rsidRPr="008C1622">
        <w:rPr>
          <w:lang w:val="en-US"/>
        </w:rPr>
        <w:t>München: Fink, 2004. 49-61.</w:t>
      </w:r>
    </w:p>
    <w:sectPr w:rsidR="00C02CBF" w:rsidSect="00C02CB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D63DF6"/>
    <w:rsid w:val="00151A64"/>
    <w:rsid w:val="005C7BD4"/>
    <w:rsid w:val="00717827"/>
    <w:rsid w:val="008C1622"/>
    <w:rsid w:val="008C43BF"/>
    <w:rsid w:val="00B33D0C"/>
    <w:rsid w:val="00B50793"/>
    <w:rsid w:val="00BF308A"/>
    <w:rsid w:val="00C02CBF"/>
    <w:rsid w:val="00C30287"/>
    <w:rsid w:val="00C81E29"/>
    <w:rsid w:val="00CE33B7"/>
    <w:rsid w:val="00D00012"/>
    <w:rsid w:val="00D63DF6"/>
    <w:rsid w:val="00ED661F"/>
    <w:rsid w:val="00F043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CBF"/>
  </w:style>
  <w:style w:type="paragraph" w:styleId="berschrift1">
    <w:name w:val="heading 1"/>
    <w:basedOn w:val="Standard"/>
    <w:next w:val="Standard"/>
    <w:link w:val="berschrift1Zchn"/>
    <w:uiPriority w:val="9"/>
    <w:qFormat/>
    <w:rsid w:val="00F04395"/>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50793"/>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CE33B7"/>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439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50793"/>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CE33B7"/>
    <w:rPr>
      <w:rFonts w:asciiTheme="majorHAnsi" w:eastAsiaTheme="majorEastAsia" w:hAnsiTheme="majorHAnsi" w:cstheme="majorBidi"/>
      <w:b/>
      <w:bCs/>
    </w:rPr>
  </w:style>
  <w:style w:type="character" w:styleId="Fett">
    <w:name w:val="Strong"/>
    <w:basedOn w:val="Absatz-Standardschriftart"/>
    <w:uiPriority w:val="22"/>
    <w:qFormat/>
    <w:rsid w:val="00D63DF6"/>
    <w:rPr>
      <w:b/>
      <w:bCs/>
    </w:rPr>
  </w:style>
  <w:style w:type="paragraph" w:styleId="StandardWeb">
    <w:name w:val="Normal (Web)"/>
    <w:basedOn w:val="Standard"/>
    <w:uiPriority w:val="99"/>
    <w:unhideWhenUsed/>
    <w:rsid w:val="00D63DF6"/>
    <w:pPr>
      <w:spacing w:before="100" w:beforeAutospacing="1" w:after="119" w:line="240" w:lineRule="auto"/>
    </w:pPr>
    <w:rPr>
      <w:rFonts w:ascii="Times New Roman" w:eastAsia="Times New Roman" w:hAnsi="Times New Roman" w:cs="Times New Roman"/>
      <w:color w:val="000000"/>
      <w:sz w:val="24"/>
      <w:szCs w:val="24"/>
      <w:lang w:eastAsia="de-DE"/>
    </w:rPr>
  </w:style>
  <w:style w:type="character" w:customStyle="1" w:styleId="apple-converted-space">
    <w:name w:val="apple-converted-space"/>
    <w:basedOn w:val="Absatz-Standardschriftart"/>
    <w:rsid w:val="008C1622"/>
  </w:style>
  <w:style w:type="character" w:styleId="Hervorhebung">
    <w:name w:val="Emphasis"/>
    <w:basedOn w:val="Absatz-Standardschriftart"/>
    <w:uiPriority w:val="20"/>
    <w:qFormat/>
    <w:rsid w:val="008C16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259878">
      <w:bodyDiv w:val="1"/>
      <w:marLeft w:val="0"/>
      <w:marRight w:val="0"/>
      <w:marTop w:val="0"/>
      <w:marBottom w:val="0"/>
      <w:divBdr>
        <w:top w:val="none" w:sz="0" w:space="0" w:color="auto"/>
        <w:left w:val="none" w:sz="0" w:space="0" w:color="auto"/>
        <w:bottom w:val="none" w:sz="0" w:space="0" w:color="auto"/>
        <w:right w:val="none" w:sz="0" w:space="0" w:color="auto"/>
      </w:divBdr>
    </w:div>
    <w:div w:id="1585529717">
      <w:bodyDiv w:val="1"/>
      <w:marLeft w:val="0"/>
      <w:marRight w:val="0"/>
      <w:marTop w:val="0"/>
      <w:marBottom w:val="0"/>
      <w:divBdr>
        <w:top w:val="none" w:sz="0" w:space="0" w:color="auto"/>
        <w:left w:val="none" w:sz="0" w:space="0" w:color="auto"/>
        <w:bottom w:val="none" w:sz="0" w:space="0" w:color="auto"/>
        <w:right w:val="none" w:sz="0" w:space="0" w:color="auto"/>
      </w:divBdr>
    </w:div>
    <w:div w:id="17429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Yasemin Isabel</dc:creator>
  <cp:lastModifiedBy>Yasemin</cp:lastModifiedBy>
  <cp:revision>3</cp:revision>
  <dcterms:created xsi:type="dcterms:W3CDTF">2013-10-14T22:23:00Z</dcterms:created>
  <dcterms:modified xsi:type="dcterms:W3CDTF">2013-10-14T22:23:00Z</dcterms:modified>
</cp:coreProperties>
</file>